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0B91C" w14:textId="6FFC8127" w:rsidR="00662507" w:rsidRDefault="00662507" w:rsidP="00662507">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662507">
        <w:rPr>
          <w:rFonts w:ascii="Lato" w:eastAsia="Times New Roman" w:hAnsi="Lato" w:cs="Times New Roman"/>
          <w:color w:val="CC3300"/>
          <w:kern w:val="36"/>
          <w:sz w:val="36"/>
          <w:szCs w:val="36"/>
          <w:lang w:eastAsia="fr-BE"/>
          <w14:ligatures w14:val="none"/>
        </w:rPr>
        <w:t>Aluminium</w:t>
      </w:r>
      <w:r>
        <w:rPr>
          <w:rFonts w:ascii="Lato" w:eastAsia="Times New Roman" w:hAnsi="Lato" w:cs="Times New Roman"/>
          <w:color w:val="CC3300"/>
          <w:kern w:val="36"/>
          <w:sz w:val="36"/>
          <w:szCs w:val="36"/>
          <w:lang w:eastAsia="fr-BE"/>
          <w14:ligatures w14:val="none"/>
        </w:rPr>
        <w:t xml:space="preserve">, </w:t>
      </w:r>
      <w:r w:rsidRPr="00662507">
        <w:rPr>
          <w:rFonts w:ascii="Lato" w:eastAsia="Times New Roman" w:hAnsi="Lato" w:cs="Times New Roman"/>
          <w:color w:val="CC3300"/>
          <w:kern w:val="36"/>
          <w:sz w:val="36"/>
          <w:szCs w:val="36"/>
          <w:lang w:eastAsia="fr-BE"/>
          <w14:ligatures w14:val="none"/>
        </w:rPr>
        <w:t xml:space="preserve">un marché qui se rapproche de l’équilibre </w:t>
      </w:r>
    </w:p>
    <w:p w14:paraId="4FBF0618" w14:textId="77777777" w:rsidR="00662507" w:rsidRPr="00662507" w:rsidRDefault="00662507" w:rsidP="00662507">
      <w:pPr>
        <w:shd w:val="clear" w:color="auto" w:fill="FFFFFF"/>
        <w:spacing w:after="0" w:line="240" w:lineRule="auto"/>
        <w:outlineLvl w:val="0"/>
        <w:rPr>
          <w:rFonts w:ascii="Lato" w:eastAsia="Times New Roman" w:hAnsi="Lato" w:cs="Times New Roman"/>
          <w:i/>
          <w:iCs/>
          <w:color w:val="000000"/>
          <w:kern w:val="0"/>
          <w:sz w:val="23"/>
          <w:szCs w:val="23"/>
          <w:lang w:eastAsia="fr-BE"/>
          <w14:ligatures w14:val="none"/>
        </w:rPr>
      </w:pPr>
    </w:p>
    <w:p w14:paraId="5AAA3519" w14:textId="77777777" w:rsidR="00662507" w:rsidRPr="00662507" w:rsidRDefault="00662507" w:rsidP="0066250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662507">
        <w:rPr>
          <w:rFonts w:ascii="Lato" w:eastAsia="Times New Roman" w:hAnsi="Lato" w:cs="Times New Roman"/>
          <w:b/>
          <w:bCs/>
          <w:color w:val="000000"/>
          <w:kern w:val="0"/>
          <w:sz w:val="23"/>
          <w:szCs w:val="23"/>
          <w:lang w:eastAsia="fr-BE"/>
          <w14:ligatures w14:val="none"/>
        </w:rPr>
        <w:t xml:space="preserve">L’excédent du marché mondial de l’aluminium devrait se tasser pour approcher de l’équilibre en 2025, sous l’effet de la baisse des taux d’intérêt et des mesures chinoises qui devraient soutenir la demande en aluminium, hors Chine, anticipe </w:t>
      </w:r>
      <w:proofErr w:type="spellStart"/>
      <w:r w:rsidRPr="00662507">
        <w:rPr>
          <w:rFonts w:ascii="Lato" w:eastAsia="Times New Roman" w:hAnsi="Lato" w:cs="Times New Roman"/>
          <w:b/>
          <w:bCs/>
          <w:color w:val="000000"/>
          <w:kern w:val="0"/>
          <w:sz w:val="23"/>
          <w:szCs w:val="23"/>
          <w:lang w:eastAsia="fr-BE"/>
          <w14:ligatures w14:val="none"/>
        </w:rPr>
        <w:t>Rusal</w:t>
      </w:r>
      <w:proofErr w:type="spellEnd"/>
      <w:r w:rsidRPr="00662507">
        <w:rPr>
          <w:rFonts w:ascii="Lato" w:eastAsia="Times New Roman" w:hAnsi="Lato" w:cs="Times New Roman"/>
          <w:b/>
          <w:bCs/>
          <w:color w:val="000000"/>
          <w:kern w:val="0"/>
          <w:sz w:val="23"/>
          <w:szCs w:val="23"/>
          <w:lang w:eastAsia="fr-BE"/>
          <w14:ligatures w14:val="none"/>
        </w:rPr>
        <w:t>.</w:t>
      </w:r>
    </w:p>
    <w:p w14:paraId="4EC3D653" w14:textId="77777777" w:rsidR="00662507" w:rsidRPr="00662507" w:rsidRDefault="00662507" w:rsidP="0066250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662507">
        <w:rPr>
          <w:rFonts w:ascii="Lato" w:eastAsia="Times New Roman" w:hAnsi="Lato" w:cs="Times New Roman"/>
          <w:color w:val="000000"/>
          <w:kern w:val="0"/>
          <w:sz w:val="23"/>
          <w:szCs w:val="23"/>
          <w:lang w:eastAsia="fr-BE"/>
          <w14:ligatures w14:val="none"/>
        </w:rPr>
        <w:t> </w:t>
      </w:r>
    </w:p>
    <w:p w14:paraId="4A020A9D" w14:textId="77777777" w:rsidR="00662507" w:rsidRPr="00662507" w:rsidRDefault="00662507" w:rsidP="0066250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662507">
        <w:rPr>
          <w:rFonts w:ascii="Lato" w:eastAsia="Times New Roman" w:hAnsi="Lato" w:cs="Times New Roman"/>
          <w:color w:val="000000"/>
          <w:kern w:val="0"/>
          <w:sz w:val="23"/>
          <w:szCs w:val="23"/>
          <w:lang w:eastAsia="fr-BE"/>
          <w14:ligatures w14:val="none"/>
        </w:rPr>
        <w:t>Le groupe, responsable de 5,5% de la production mondiale du métal léger, a accru ses livraisons en direction de la Chine pour compenser le repli vers les pays occidentaux, qui ont instauré des sanctions à l’encontre de la Russie, en réponse à la guerre en Ukraine.</w:t>
      </w:r>
    </w:p>
    <w:p w14:paraId="4B5E086B" w14:textId="77777777" w:rsidR="00662507" w:rsidRPr="00662507" w:rsidRDefault="00662507" w:rsidP="0066250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662507">
        <w:rPr>
          <w:rFonts w:ascii="Lato" w:eastAsia="Times New Roman" w:hAnsi="Lato" w:cs="Times New Roman"/>
          <w:color w:val="000000"/>
          <w:kern w:val="0"/>
          <w:sz w:val="23"/>
          <w:szCs w:val="23"/>
          <w:lang w:eastAsia="fr-BE"/>
          <w14:ligatures w14:val="none"/>
        </w:rPr>
        <w:t>En Chine, la croissance de la demande en aluminium pourrait se tasser en 2025, mais son marché de la première fusion demeure déficitaire, tandis que le reste du monde enregistre un excédent.</w:t>
      </w:r>
    </w:p>
    <w:p w14:paraId="7175D379" w14:textId="77777777" w:rsidR="00662507" w:rsidRPr="00662507" w:rsidRDefault="00662507" w:rsidP="0066250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662507">
        <w:rPr>
          <w:rFonts w:ascii="Lato" w:eastAsia="Times New Roman" w:hAnsi="Lato" w:cs="Times New Roman"/>
          <w:color w:val="000000"/>
          <w:kern w:val="0"/>
          <w:sz w:val="23"/>
          <w:szCs w:val="23"/>
          <w:lang w:eastAsia="fr-BE"/>
          <w14:ligatures w14:val="none"/>
        </w:rPr>
        <w:t>Les propos de </w:t>
      </w:r>
      <w:proofErr w:type="spellStart"/>
      <w:r w:rsidRPr="00662507">
        <w:rPr>
          <w:rFonts w:ascii="Lato" w:eastAsia="Times New Roman" w:hAnsi="Lato" w:cs="Times New Roman"/>
          <w:b/>
          <w:bCs/>
          <w:color w:val="000000"/>
          <w:kern w:val="0"/>
          <w:sz w:val="23"/>
          <w:szCs w:val="23"/>
          <w:lang w:eastAsia="fr-BE"/>
          <w14:ligatures w14:val="none"/>
        </w:rPr>
        <w:t>Rusal</w:t>
      </w:r>
      <w:proofErr w:type="spellEnd"/>
      <w:r w:rsidRPr="00662507">
        <w:rPr>
          <w:rFonts w:ascii="Lato" w:eastAsia="Times New Roman" w:hAnsi="Lato" w:cs="Times New Roman"/>
          <w:b/>
          <w:bCs/>
          <w:color w:val="000000"/>
          <w:kern w:val="0"/>
          <w:sz w:val="23"/>
          <w:szCs w:val="23"/>
          <w:lang w:eastAsia="fr-BE"/>
          <w14:ligatures w14:val="none"/>
        </w:rPr>
        <w:t> </w:t>
      </w:r>
      <w:r w:rsidRPr="00662507">
        <w:rPr>
          <w:rFonts w:ascii="Lato" w:eastAsia="Times New Roman" w:hAnsi="Lato" w:cs="Times New Roman"/>
          <w:color w:val="000000"/>
          <w:kern w:val="0"/>
          <w:sz w:val="23"/>
          <w:szCs w:val="23"/>
          <w:lang w:eastAsia="fr-BE"/>
          <w14:ligatures w14:val="none"/>
        </w:rPr>
        <w:t>ont été recueillis au téléphone par l’agence de presse </w:t>
      </w:r>
      <w:r w:rsidRPr="00662507">
        <w:rPr>
          <w:rFonts w:ascii="Lato" w:eastAsia="Times New Roman" w:hAnsi="Lato" w:cs="Times New Roman"/>
          <w:i/>
          <w:iCs/>
          <w:color w:val="000000"/>
          <w:kern w:val="0"/>
          <w:sz w:val="23"/>
          <w:szCs w:val="23"/>
          <w:lang w:eastAsia="fr-BE"/>
          <w14:ligatures w14:val="none"/>
        </w:rPr>
        <w:t>Reuters</w:t>
      </w:r>
      <w:r w:rsidRPr="00662507">
        <w:rPr>
          <w:rFonts w:ascii="Lato" w:eastAsia="Times New Roman" w:hAnsi="Lato" w:cs="Times New Roman"/>
          <w:color w:val="000000"/>
          <w:kern w:val="0"/>
          <w:sz w:val="23"/>
          <w:szCs w:val="23"/>
          <w:lang w:eastAsia="fr-BE"/>
          <w14:ligatures w14:val="none"/>
        </w:rPr>
        <w:t>, en marge de la </w:t>
      </w:r>
      <w:r w:rsidRPr="00662507">
        <w:rPr>
          <w:rFonts w:ascii="Lato" w:eastAsia="Times New Roman" w:hAnsi="Lato" w:cs="Times New Roman"/>
          <w:i/>
          <w:iCs/>
          <w:color w:val="000000"/>
          <w:kern w:val="0"/>
          <w:sz w:val="23"/>
          <w:szCs w:val="23"/>
          <w:lang w:eastAsia="fr-BE"/>
          <w14:ligatures w14:val="none"/>
        </w:rPr>
        <w:t>LME Week</w:t>
      </w:r>
      <w:r w:rsidRPr="00662507">
        <w:rPr>
          <w:rFonts w:ascii="Lato" w:eastAsia="Times New Roman" w:hAnsi="Lato" w:cs="Times New Roman"/>
          <w:color w:val="000000"/>
          <w:kern w:val="0"/>
          <w:sz w:val="23"/>
          <w:szCs w:val="23"/>
          <w:lang w:eastAsia="fr-BE"/>
          <w14:ligatures w14:val="none"/>
        </w:rPr>
        <w:t>. Le groupe table sur un excédent de 500.000 tonnes en 2024, lequel se tassera entre 200.000 et 300.000 tonnes en 2025.</w:t>
      </w:r>
    </w:p>
    <w:p w14:paraId="503ECAA8" w14:textId="77777777" w:rsidR="00662507" w:rsidRPr="00662507" w:rsidRDefault="00662507" w:rsidP="0066250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662507">
        <w:rPr>
          <w:rFonts w:ascii="Lato" w:eastAsia="Times New Roman" w:hAnsi="Lato" w:cs="Times New Roman"/>
          <w:color w:val="000000"/>
          <w:kern w:val="0"/>
          <w:sz w:val="23"/>
          <w:szCs w:val="23"/>
          <w:lang w:eastAsia="fr-BE"/>
          <w14:ligatures w14:val="none"/>
        </w:rPr>
        <w:t>La production d’aluminium primaire est ressortie à 48,2 millions de tonnes sur la période de janvier à août 2024, soit une progression sur un an de 3,2%, selon l’International Aluminium Institute.</w:t>
      </w:r>
    </w:p>
    <w:p w14:paraId="13F1790F" w14:textId="77777777" w:rsidR="00662507" w:rsidRPr="00662507" w:rsidRDefault="00662507" w:rsidP="0066250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662507">
        <w:rPr>
          <w:rFonts w:ascii="Lato" w:eastAsia="Times New Roman" w:hAnsi="Lato" w:cs="Times New Roman"/>
          <w:color w:val="000000"/>
          <w:kern w:val="0"/>
          <w:sz w:val="23"/>
          <w:szCs w:val="23"/>
          <w:lang w:eastAsia="fr-BE"/>
          <w14:ligatures w14:val="none"/>
        </w:rPr>
        <w:t>La Chine est désormais le principal marché export de </w:t>
      </w:r>
      <w:proofErr w:type="spellStart"/>
      <w:r w:rsidRPr="00662507">
        <w:rPr>
          <w:rFonts w:ascii="Lato" w:eastAsia="Times New Roman" w:hAnsi="Lato" w:cs="Times New Roman"/>
          <w:b/>
          <w:bCs/>
          <w:color w:val="000000"/>
          <w:kern w:val="0"/>
          <w:sz w:val="23"/>
          <w:szCs w:val="23"/>
          <w:lang w:eastAsia="fr-BE"/>
          <w14:ligatures w14:val="none"/>
        </w:rPr>
        <w:t>Rusal</w:t>
      </w:r>
      <w:proofErr w:type="spellEnd"/>
      <w:r w:rsidRPr="00662507">
        <w:rPr>
          <w:rFonts w:ascii="Lato" w:eastAsia="Times New Roman" w:hAnsi="Lato" w:cs="Times New Roman"/>
          <w:color w:val="000000"/>
          <w:kern w:val="0"/>
          <w:sz w:val="23"/>
          <w:szCs w:val="23"/>
          <w:lang w:eastAsia="fr-BE"/>
          <w14:ligatures w14:val="none"/>
        </w:rPr>
        <w:t>.</w:t>
      </w:r>
    </w:p>
    <w:p w14:paraId="31BDE8C0" w14:textId="77777777" w:rsidR="00662507" w:rsidRPr="00662507" w:rsidRDefault="00662507" w:rsidP="0066250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662507">
        <w:rPr>
          <w:rFonts w:ascii="Lato" w:eastAsia="Times New Roman" w:hAnsi="Lato" w:cs="Times New Roman"/>
          <w:color w:val="000000"/>
          <w:kern w:val="0"/>
          <w:sz w:val="23"/>
          <w:szCs w:val="23"/>
          <w:lang w:eastAsia="fr-BE"/>
          <w14:ligatures w14:val="none"/>
        </w:rPr>
        <w:t>Le LME n’accepte plus les métaux russes en son sein depuis avril dernier, pour se conformer aux sanctions établies par   les Etats-Unis et la Grande-Bretagne. Attestant du durcissement des conditions pour le producteur russe : son chiffre d’affaires du premier semestre s’est contracté de 4%, à 5,7 milliards de dollars, sous l’effet de la baisse des ventes de 3%, à 1,9 million de tonnes.</w:t>
      </w:r>
    </w:p>
    <w:p w14:paraId="5D96DF58" w14:textId="77777777" w:rsidR="00662507" w:rsidRPr="00662507" w:rsidRDefault="00662507" w:rsidP="0066250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662507">
        <w:rPr>
          <w:rFonts w:ascii="Lato" w:eastAsia="Times New Roman" w:hAnsi="Lato" w:cs="Times New Roman"/>
          <w:color w:val="000000"/>
          <w:kern w:val="0"/>
          <w:sz w:val="23"/>
          <w:szCs w:val="23"/>
          <w:lang w:eastAsia="fr-BE"/>
          <w14:ligatures w14:val="none"/>
        </w:rPr>
        <w:t xml:space="preserve">Encouragée par la fermeté actuelle des cours du métal sur le LME, la production mondiale </w:t>
      </w:r>
      <w:proofErr w:type="gramStart"/>
      <w:r w:rsidRPr="00662507">
        <w:rPr>
          <w:rFonts w:ascii="Lato" w:eastAsia="Times New Roman" w:hAnsi="Lato" w:cs="Times New Roman"/>
          <w:color w:val="000000"/>
          <w:kern w:val="0"/>
          <w:sz w:val="23"/>
          <w:szCs w:val="23"/>
          <w:lang w:eastAsia="fr-BE"/>
          <w14:ligatures w14:val="none"/>
        </w:rPr>
        <w:t>d’aluminium</w:t>
      </w:r>
      <w:proofErr w:type="gramEnd"/>
      <w:r w:rsidRPr="00662507">
        <w:rPr>
          <w:rFonts w:ascii="Lato" w:eastAsia="Times New Roman" w:hAnsi="Lato" w:cs="Times New Roman"/>
          <w:color w:val="000000"/>
          <w:kern w:val="0"/>
          <w:sz w:val="23"/>
          <w:szCs w:val="23"/>
          <w:lang w:eastAsia="fr-BE"/>
          <w14:ligatures w14:val="none"/>
        </w:rPr>
        <w:t xml:space="preserve"> progresse, avec des expansions de capacités observées en Indonésie et en Russie, ainsi que des redémarrages de capacités en Amérique latine, a indiqué </w:t>
      </w:r>
      <w:proofErr w:type="spellStart"/>
      <w:r w:rsidRPr="00662507">
        <w:rPr>
          <w:rFonts w:ascii="Lato" w:eastAsia="Times New Roman" w:hAnsi="Lato" w:cs="Times New Roman"/>
          <w:b/>
          <w:bCs/>
          <w:color w:val="000000"/>
          <w:kern w:val="0"/>
          <w:sz w:val="23"/>
          <w:szCs w:val="23"/>
          <w:lang w:eastAsia="fr-BE"/>
          <w14:ligatures w14:val="none"/>
        </w:rPr>
        <w:t>Rusal</w:t>
      </w:r>
      <w:proofErr w:type="spellEnd"/>
      <w:r w:rsidRPr="00662507">
        <w:rPr>
          <w:rFonts w:ascii="Lato" w:eastAsia="Times New Roman" w:hAnsi="Lato" w:cs="Times New Roman"/>
          <w:color w:val="000000"/>
          <w:kern w:val="0"/>
          <w:sz w:val="23"/>
          <w:szCs w:val="23"/>
          <w:lang w:eastAsia="fr-BE"/>
          <w14:ligatures w14:val="none"/>
        </w:rPr>
        <w:t>. Mais la progression de la production est largement absorbée par celle de la demande, que </w:t>
      </w:r>
      <w:proofErr w:type="spellStart"/>
      <w:r w:rsidRPr="00662507">
        <w:rPr>
          <w:rFonts w:ascii="Lato" w:eastAsia="Times New Roman" w:hAnsi="Lato" w:cs="Times New Roman"/>
          <w:b/>
          <w:bCs/>
          <w:color w:val="000000"/>
          <w:kern w:val="0"/>
          <w:sz w:val="23"/>
          <w:szCs w:val="23"/>
          <w:lang w:eastAsia="fr-BE"/>
          <w14:ligatures w14:val="none"/>
        </w:rPr>
        <w:t>Rusal</w:t>
      </w:r>
      <w:proofErr w:type="spellEnd"/>
      <w:r w:rsidRPr="00662507">
        <w:rPr>
          <w:rFonts w:ascii="Lato" w:eastAsia="Times New Roman" w:hAnsi="Lato" w:cs="Times New Roman"/>
          <w:color w:val="000000"/>
          <w:kern w:val="0"/>
          <w:sz w:val="23"/>
          <w:szCs w:val="23"/>
          <w:lang w:eastAsia="fr-BE"/>
          <w14:ligatures w14:val="none"/>
        </w:rPr>
        <w:t> anticipe entre 2,5 et 2,7% en 2024 et 3,5% en 2025.</w:t>
      </w:r>
    </w:p>
    <w:p w14:paraId="53F23C1C"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507"/>
    <w:rsid w:val="00023902"/>
    <w:rsid w:val="00287462"/>
    <w:rsid w:val="0066250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52D47"/>
  <w15:chartTrackingRefBased/>
  <w15:docId w15:val="{9E234D98-FC41-4E25-BEBC-8E770F87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625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625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6250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6250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6250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6250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6250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6250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6250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6250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6250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6250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6250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6250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6250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6250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6250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62507"/>
    <w:rPr>
      <w:rFonts w:eastAsiaTheme="majorEastAsia" w:cstheme="majorBidi"/>
      <w:color w:val="272727" w:themeColor="text1" w:themeTint="D8"/>
    </w:rPr>
  </w:style>
  <w:style w:type="paragraph" w:styleId="Titre">
    <w:name w:val="Title"/>
    <w:basedOn w:val="Normal"/>
    <w:next w:val="Normal"/>
    <w:link w:val="TitreCar"/>
    <w:uiPriority w:val="10"/>
    <w:qFormat/>
    <w:rsid w:val="006625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6250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6250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6250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62507"/>
    <w:pPr>
      <w:spacing w:before="160"/>
      <w:jc w:val="center"/>
    </w:pPr>
    <w:rPr>
      <w:i/>
      <w:iCs/>
      <w:color w:val="404040" w:themeColor="text1" w:themeTint="BF"/>
    </w:rPr>
  </w:style>
  <w:style w:type="character" w:customStyle="1" w:styleId="CitationCar">
    <w:name w:val="Citation Car"/>
    <w:basedOn w:val="Policepardfaut"/>
    <w:link w:val="Citation"/>
    <w:uiPriority w:val="29"/>
    <w:rsid w:val="00662507"/>
    <w:rPr>
      <w:i/>
      <w:iCs/>
      <w:color w:val="404040" w:themeColor="text1" w:themeTint="BF"/>
    </w:rPr>
  </w:style>
  <w:style w:type="paragraph" w:styleId="Paragraphedeliste">
    <w:name w:val="List Paragraph"/>
    <w:basedOn w:val="Normal"/>
    <w:uiPriority w:val="34"/>
    <w:qFormat/>
    <w:rsid w:val="00662507"/>
    <w:pPr>
      <w:ind w:left="720"/>
      <w:contextualSpacing/>
    </w:pPr>
  </w:style>
  <w:style w:type="character" w:styleId="Accentuationintense">
    <w:name w:val="Intense Emphasis"/>
    <w:basedOn w:val="Policepardfaut"/>
    <w:uiPriority w:val="21"/>
    <w:qFormat/>
    <w:rsid w:val="00662507"/>
    <w:rPr>
      <w:i/>
      <w:iCs/>
      <w:color w:val="0F4761" w:themeColor="accent1" w:themeShade="BF"/>
    </w:rPr>
  </w:style>
  <w:style w:type="paragraph" w:styleId="Citationintense">
    <w:name w:val="Intense Quote"/>
    <w:basedOn w:val="Normal"/>
    <w:next w:val="Normal"/>
    <w:link w:val="CitationintenseCar"/>
    <w:uiPriority w:val="30"/>
    <w:qFormat/>
    <w:rsid w:val="006625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62507"/>
    <w:rPr>
      <w:i/>
      <w:iCs/>
      <w:color w:val="0F4761" w:themeColor="accent1" w:themeShade="BF"/>
    </w:rPr>
  </w:style>
  <w:style w:type="character" w:styleId="Rfrenceintense">
    <w:name w:val="Intense Reference"/>
    <w:basedOn w:val="Policepardfaut"/>
    <w:uiPriority w:val="32"/>
    <w:qFormat/>
    <w:rsid w:val="006625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434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1727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2024-10-14T07:02:00Z</dcterms:created>
  <dcterms:modified xsi:type="dcterms:W3CDTF">2024-10-14T07:02:00Z</dcterms:modified>
</cp:coreProperties>
</file>